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D37D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6061D4" w:rsidRDefault="006061D4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Управления 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</w:rPr>
        <w:t>Роскомнадзора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7F03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</w:rPr>
        <w:t>о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II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квартале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года</w:t>
      </w:r>
    </w:p>
    <w:p w:rsidR="001B4A59" w:rsidRPr="00D37DC1" w:rsidRDefault="001B4A59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1912"/>
        <w:gridCol w:w="3969"/>
        <w:gridCol w:w="851"/>
        <w:gridCol w:w="1133"/>
      </w:tblGrid>
      <w:tr w:rsidR="001B4A59" w:rsidRPr="00144380" w:rsidTr="00F65C36">
        <w:trPr>
          <w:cantSplit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12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851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133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 (в т.ч. причины неисполнения)</w:t>
            </w:r>
          </w:p>
        </w:tc>
      </w:tr>
      <w:tr w:rsidR="001B4A59" w:rsidRPr="00144380" w:rsidTr="00E42E24">
        <w:trPr>
          <w:cantSplit/>
          <w:trHeight w:val="865"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378" w:type="dxa"/>
            <w:gridSpan w:val="8"/>
            <w:vAlign w:val="center"/>
          </w:tcPr>
          <w:p w:rsidR="001B4A59" w:rsidRPr="00144380" w:rsidRDefault="001B4A5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 государственными служащими Управления Роскомнадзора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B4A59" w:rsidRPr="00144380" w:rsidTr="00D37DC1">
        <w:trPr>
          <w:cantSplit/>
          <w:trHeight w:val="2074"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1B4A59" w:rsidRPr="00144380" w:rsidRDefault="001B4A59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Pr="00144380" w:rsidRDefault="00D37DC1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B4A59" w:rsidRPr="00144380" w:rsidRDefault="00D37DC1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Ежеквартальный доклад руководителю о работе комиссии по служебному поведению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>нализ деятельности комиссии.</w:t>
            </w:r>
          </w:p>
        </w:tc>
        <w:tc>
          <w:tcPr>
            <w:tcW w:w="851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3969" w:type="dxa"/>
          </w:tcPr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</w:t>
            </w:r>
          </w:p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приказов Роскомнадзора от 06.02.2012 № 63 в Управлении принята для практической реализации Инструкция об организации служебных проверок.</w:t>
            </w:r>
          </w:p>
          <w:p w:rsidR="001B4A59" w:rsidRPr="00144380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Организация в порядке, предусмотренном нормативными правовыми актами Российской федерации, проверок по случаям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ограничений, запретов и неисполнения обязанностей касающихся получения подарков и порядка сдачи подарка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D37DC1" w:rsidRDefault="009B42C2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несоблюдения государственными служащими Управления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полученного в связи с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положением или исполнением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(должностных)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выявлено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Обеспечение работы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кадров.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D37DC1" w:rsidRDefault="009B42C2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Уведомлений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иной оплачиваемой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  <w:trHeight w:val="6661"/>
        </w:trPr>
        <w:tc>
          <w:tcPr>
            <w:tcW w:w="640" w:type="dxa"/>
          </w:tcPr>
          <w:p w:rsidR="001B4A59" w:rsidRPr="00144380" w:rsidRDefault="001B4A59" w:rsidP="00831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 от 21.01. 2014 № 10.</w:t>
            </w:r>
          </w:p>
        </w:tc>
        <w:tc>
          <w:tcPr>
            <w:tcW w:w="1701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1912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3969" w:type="dxa"/>
          </w:tcPr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151DD" w:rsidRPr="00831F9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42C2" w:rsidRPr="00831F98">
              <w:rPr>
                <w:rFonts w:ascii="Times New Roman" w:hAnsi="Times New Roman" w:cs="Times New Roman"/>
                <w:sz w:val="20"/>
                <w:szCs w:val="20"/>
              </w:rPr>
              <w:t>2014 году в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 w:rsidR="00D151DD" w:rsidRPr="00831F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перечень должностей федеральной государственной гражданской службы, при назначении на которые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  <w:p w:rsidR="009B42C2" w:rsidRPr="00831F98" w:rsidRDefault="00831F98" w:rsidP="00D77FAD">
            <w:pPr>
              <w:pStyle w:val="aa"/>
              <w:spacing w:line="220" w:lineRule="exact"/>
              <w:ind w:left="0"/>
              <w:jc w:val="both"/>
            </w:pPr>
            <w:r>
              <w:t xml:space="preserve">     </w:t>
            </w:r>
            <w:r w:rsidR="009B42C2" w:rsidRPr="00831F98">
              <w:t>В 2015 году на заседании комиссии рассмотрен вопрос об оценке коррупционных рисков, возникающих при реализации полномочий Управления по установленным направлениям деятельности, а также перечень</w:t>
            </w:r>
            <w:r w:rsidR="00EE7159" w:rsidRPr="00831F98">
              <w:t xml:space="preserve"> функций</w:t>
            </w:r>
            <w:r w:rsidR="009B42C2" w:rsidRPr="00831F98">
              <w:t xml:space="preserve">, при реализации которых наиболее вероятно возникновение коррупционных рисков. </w:t>
            </w:r>
            <w:r w:rsidR="009B42C2" w:rsidRPr="00831F98">
              <w:rPr>
                <w:bCs/>
              </w:rPr>
              <w:t xml:space="preserve">Рекомендовано руководителю Управления оставить без изменения </w:t>
            </w:r>
            <w:r w:rsidR="009B42C2" w:rsidRPr="00831F98">
              <w:t>П</w:t>
            </w:r>
            <w:r w:rsidR="009B42C2" w:rsidRPr="00831F98">
              <w:rPr>
                <w:bCs/>
              </w:rPr>
              <w:t>еречень должностей</w:t>
            </w:r>
            <w:r w:rsidR="009B42C2" w:rsidRPr="00831F98">
              <w:t>, при назначении на которые граждане и при замещении которых госслужащие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замещение которых связано с исполнением коррупционно опасных функций Роскомнадзора, утвержденный  приказом Управления от 03.07.2014 № 250.</w:t>
            </w:r>
          </w:p>
        </w:tc>
        <w:tc>
          <w:tcPr>
            <w:tcW w:w="851" w:type="dxa"/>
          </w:tcPr>
          <w:p w:rsidR="001B4A59" w:rsidRPr="00831F98" w:rsidRDefault="00F65C36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40" w:rsidRPr="00144380" w:rsidTr="001B4A59">
        <w:trPr>
          <w:cantSplit/>
        </w:trPr>
        <w:tc>
          <w:tcPr>
            <w:tcW w:w="640" w:type="dxa"/>
          </w:tcPr>
          <w:p w:rsidR="00335040" w:rsidRPr="00144380" w:rsidRDefault="0033504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2" w:type="dxa"/>
            <w:gridSpan w:val="2"/>
          </w:tcPr>
          <w:p w:rsidR="00335040" w:rsidRPr="00144380" w:rsidRDefault="00335040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обучающих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        1) «заполнение справок о доходах, расходах…» в соответствии с УП РФ от 23.06.2014 № 460;                                         2) «практические вопросы заполнения справок в соответствиями с рекомендациями Минтруда 2015»;</w:t>
            </w:r>
          </w:p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>О формировании кадрового резерва в Управлении в соответствии с приказом от 18.05.2015 № 123.</w:t>
            </w:r>
          </w:p>
          <w:p w:rsidR="00335040" w:rsidRPr="0014438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разъяснений и консультаций госслужащих отделом ОФПРиК проводятся регулярные разъяснения по вопросам антикоррупционной тематики.</w:t>
            </w:r>
          </w:p>
        </w:tc>
        <w:tc>
          <w:tcPr>
            <w:tcW w:w="851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35040" w:rsidRPr="00144380" w:rsidRDefault="00335040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разработаны тематические памятки, которые находятся в доступном месте на информационном стенде кадровой службы. Отдел ОФПРиК проводит индивидуальные консультации госслужащих Управления.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D37DC1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в соответствии с Планом-графиком.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A137B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78" w:type="dxa"/>
            <w:gridSpan w:val="8"/>
          </w:tcPr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Выявление и систематизация причин и условий проявления коррупции в деятельности  Управления Роскомнадзора по Томской области ограничений, мониторинг коррупционных рисков и их устранение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государственные служащие Управления и граждане, претендующие на замещение должностей гос. гр. службы проходят проверку в ИЦ УМВД России по Томской области на предмет отсутствия неснятых/непогашенных судимостей. </w:t>
            </w:r>
          </w:p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0B0CCA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проводимых процедур размещаются на сайте Управления. 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0B0CCA" w:rsidRPr="000B0CCA" w:rsidRDefault="000B0CCA" w:rsidP="00F5472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0B0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состоялось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 заседание комиссии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, на котором 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одобрен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Перечень функций Управления, при реализации которых наиболее вероятно возникновение коррупционных проявлений.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F5472B">
              <w:rPr>
                <w:rFonts w:ascii="Times New Roman" w:hAnsi="Times New Roman" w:cs="Times New Roman"/>
                <w:sz w:val="20"/>
                <w:szCs w:val="20"/>
              </w:rPr>
              <w:t>уководителю Управления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</w:t>
            </w:r>
            <w:r w:rsidRPr="00F5472B">
              <w:rPr>
                <w:rFonts w:ascii="Times New Roman" w:hAnsi="Times New Roman" w:cs="Times New Roman"/>
                <w:sz w:val="20"/>
                <w:szCs w:val="20"/>
              </w:rPr>
              <w:t xml:space="preserve"> оставить без изменения Перечень должностей федеральной государственной гражданской службы Управления, при назначении на которые граждане и при замещении которых федеральные государственные служащие Управления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замещение которых связано с исполнением коррупционно опасных функц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ий Роскомнадзора, утвержденный </w:t>
            </w:r>
            <w:r w:rsidRPr="00F5472B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от 03.07.2014 № 250</w:t>
            </w:r>
            <w:r w:rsidRPr="00F5472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  <w:trHeight w:val="2686"/>
        </w:trPr>
        <w:tc>
          <w:tcPr>
            <w:tcW w:w="640" w:type="dxa"/>
          </w:tcPr>
          <w:p w:rsidR="000B0CCA" w:rsidRPr="00144380" w:rsidRDefault="000B0CCA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11" w:type="dxa"/>
          </w:tcPr>
          <w:p w:rsidR="000B0CCA" w:rsidRPr="00144380" w:rsidRDefault="000B0CCA" w:rsidP="00662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проявлениях со стороны ГС Управления или несоблюдения ими требований к служебному поведению.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977150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78" w:type="dxa"/>
            <w:gridSpan w:val="8"/>
          </w:tcPr>
          <w:p w:rsidR="000B0CCA" w:rsidRP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3969" w:type="dxa"/>
          </w:tcPr>
          <w:p w:rsidR="00F5472B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План противодействия коррупции на 2014-2015; Отчет о выполнении плана; Порядок уведомления о фактах обращения в целях склонения ГС к совершению коррупц. правонарушений; Порядок представления сведений о доходах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, расходах, обязательствах имущественного характера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государственных служащих; информация о заседаниях комиссии; новых нормативных актах, новостях законода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тельства в установленной сфере.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«он-лайн».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главной странице сайта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0B0CCA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с обеспечением возможности взаимодействия с заявителем с использованием компьютерных технологий в режиме «он-лайн».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Управления в разделе «Антикоррупционная деятельность»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информация о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«горячей линии» по вопросам коррупции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сайта имеют возможность сфо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рмировать электронное обращение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Интеренет-сайте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 Доклад руководителю Роскомнадзора.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или отсутствии сообщений (обращений) о фактах коррупции доводится до руководителя Управления. В отчетном периоде сообщений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0B0CCA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представителями Национального исследовательского Томского государственного университета по вопросам противодействия коррупции.</w:t>
            </w:r>
          </w:p>
          <w:p w:rsidR="00D77FAD" w:rsidRPr="00144380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Управления принимают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 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>мероприятий, проводимых для студентов и молодых ученых: Форум молодых ученых U-NOVUS, Всероссийский конкурс студентов и аспирантов по информационной безопасности «Sibinfo».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Интернет-сайте Управления ссылок на электронные формы документов на представление госуслуг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3969" w:type="dxa"/>
          </w:tcPr>
          <w:p w:rsidR="001C06A1" w:rsidRDefault="001C06A1" w:rsidP="00D77F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региональными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сообщения руководителя о деятельности Управления в газете «Томская неделя».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фактов коррупционного характера в Управлении не выявлено.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0E2ACE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78" w:type="dxa"/>
            <w:gridSpan w:val="8"/>
          </w:tcPr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Роскомнадзора. Размещение 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госуслуг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докладывается руководителю Управления.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111" w:type="dxa"/>
          </w:tcPr>
          <w:p w:rsidR="000B0CCA" w:rsidRPr="00144380" w:rsidRDefault="000B0CCA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Роскомнадзора.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контроль мероприятий по выполнению Плана.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AB1881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D4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Беляков</w:t>
      </w:r>
    </w:p>
    <w:sectPr w:rsidR="00B06D42" w:rsidRPr="003371B8" w:rsidSect="00D37DC1">
      <w:footerReference w:type="default" r:id="rId9"/>
      <w:pgSz w:w="16838" w:h="11906" w:orient="landscape"/>
      <w:pgMar w:top="709" w:right="720" w:bottom="142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D1" w:rsidRDefault="001F46D1" w:rsidP="000551A1">
      <w:pPr>
        <w:spacing w:after="0" w:line="240" w:lineRule="auto"/>
      </w:pPr>
      <w:r>
        <w:separator/>
      </w:r>
    </w:p>
  </w:endnote>
  <w:endnote w:type="continuationSeparator" w:id="0">
    <w:p w:rsidR="001F46D1" w:rsidRDefault="001F46D1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EndPr/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F3084A">
          <w:rPr>
            <w:noProof/>
            <w:sz w:val="16"/>
            <w:szCs w:val="16"/>
          </w:rPr>
          <w:t>2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D1" w:rsidRDefault="001F46D1" w:rsidP="000551A1">
      <w:pPr>
        <w:spacing w:after="0" w:line="240" w:lineRule="auto"/>
      </w:pPr>
      <w:r>
        <w:separator/>
      </w:r>
    </w:p>
  </w:footnote>
  <w:footnote w:type="continuationSeparator" w:id="0">
    <w:p w:rsidR="001F46D1" w:rsidRDefault="001F46D1" w:rsidP="000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300"/>
    <w:multiLevelType w:val="hybridMultilevel"/>
    <w:tmpl w:val="BCBC3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CCA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1FF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A59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06A1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6D1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A2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040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3C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2127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2FEA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527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1F98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2C2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59DA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881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4945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4D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51DD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37DC1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29E2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77FAD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E7159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084A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72B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5C36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EFF8-8ACB-461D-B80F-548B432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20655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Чулик Е. А.</cp:lastModifiedBy>
  <cp:revision>2</cp:revision>
  <cp:lastPrinted>2015-05-29T10:27:00Z</cp:lastPrinted>
  <dcterms:created xsi:type="dcterms:W3CDTF">2015-06-17T09:11:00Z</dcterms:created>
  <dcterms:modified xsi:type="dcterms:W3CDTF">2015-06-17T09:11:00Z</dcterms:modified>
</cp:coreProperties>
</file>